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A95D7C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="00E03F5A"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0E5589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0E55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36733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A36733" w:rsidRDefault="00A36733" w:rsidP="00A36733">
            <w:p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A36733" w:rsidRDefault="00A36733" w:rsidP="00A36733">
            <w:p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  <w:p w:rsidR="00A36733" w:rsidRPr="00A36733" w:rsidRDefault="00A36733" w:rsidP="00A36733">
            <w:p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36733" w:rsidRPr="00D56689" w:rsidRDefault="00A3673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A36733" w:rsidRPr="00E16E31" w:rsidRDefault="00A3673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A36733" w:rsidRPr="00E16E31" w:rsidRDefault="00A3673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A36733" w:rsidRPr="00E16E31" w:rsidRDefault="00A3673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A36733" w:rsidRDefault="00A36733" w:rsidP="00A36733">
      <w:pPr>
        <w:pStyle w:val="Akapitzlist"/>
        <w:spacing w:before="120" w:after="120"/>
        <w:ind w:left="714"/>
        <w:contextualSpacing w:val="0"/>
        <w:rPr>
          <w:rFonts w:cstheme="minorHAnsi"/>
          <w:sz w:val="24"/>
          <w:szCs w:val="24"/>
        </w:rPr>
      </w:pPr>
    </w:p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="005118D3"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="005118D3"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="005118D3"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="005118D3"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5118D3" w:rsidRPr="00201A59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5118D3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="005118D3"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A95D7C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2B6641"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="002B6641"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="002B6641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="002B6641"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="002B6641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A95D7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2B6641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A95D7C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2B6641"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2B6641"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A95D7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="005118D3"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A95D7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="005118D3"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A95D7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A95D7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0E558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="005118D3"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:rsidR="00020757" w:rsidRPr="006F5199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F5199">
        <w:rPr>
          <w:rFonts w:cstheme="minorHAnsi"/>
          <w:color w:val="000000" w:themeColor="text1"/>
          <w:sz w:val="24"/>
          <w:szCs w:val="24"/>
        </w:rPr>
        <w:t xml:space="preserve"> 9. 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1B495D" w:rsidRPr="006F5199">
        <w:rPr>
          <w:rFonts w:cstheme="minorHAnsi"/>
          <w:color w:val="000000" w:themeColor="text1"/>
          <w:sz w:val="24"/>
          <w:szCs w:val="24"/>
        </w:rPr>
        <w:t xml:space="preserve">zgody na pobyt </w:t>
      </w:r>
      <w:r w:rsidR="00236ACB" w:rsidRPr="006F5199">
        <w:rPr>
          <w:rFonts w:cstheme="minorHAnsi"/>
          <w:color w:val="000000" w:themeColor="text1"/>
          <w:sz w:val="24"/>
          <w:szCs w:val="24"/>
        </w:rPr>
        <w:t xml:space="preserve">ze względów humanitarnych, 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>nie złożyłem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wniosku o ochronę międzynarodową. /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Я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заявляю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що</w:t>
      </w:r>
      <w:r w:rsidR="00020757" w:rsidRPr="006F51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не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ма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C579D7" w:rsidRPr="006F5199">
        <w:rPr>
          <w:rFonts w:cstheme="minorHAnsi"/>
          <w:color w:val="000000" w:themeColor="text1"/>
          <w:sz w:val="24"/>
          <w:szCs w:val="24"/>
          <w:lang w:val="ru-RU"/>
        </w:rPr>
        <w:t>дозволу на</w:t>
      </w:r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перебування</w:t>
      </w:r>
      <w:proofErr w:type="spellEnd"/>
      <w:r w:rsidR="00C579D7" w:rsidRPr="006F5199">
        <w:rPr>
          <w:color w:val="000000" w:themeColor="text1"/>
        </w:rPr>
        <w:t xml:space="preserve"> з </w:t>
      </w:r>
      <w:proofErr w:type="spellStart"/>
      <w:r w:rsidR="00C579D7" w:rsidRPr="006F5199">
        <w:rPr>
          <w:color w:val="000000" w:themeColor="text1"/>
        </w:rPr>
        <w:t>гуманітарних</w:t>
      </w:r>
      <w:proofErr w:type="spellEnd"/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міркувань</w:t>
      </w:r>
      <w:proofErr w:type="spellEnd"/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87356E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 w:rsidR="00DA7D85" w:rsidRPr="006F5199" w:rsidRDefault="006F5199" w:rsidP="006F5199">
      <w:pPr>
        <w:tabs>
          <w:tab w:val="left" w:pos="896"/>
        </w:tabs>
        <w:jc w:val="both"/>
        <w:rPr>
          <w:color w:val="000000" w:themeColor="text1"/>
          <w:sz w:val="24"/>
          <w:szCs w:val="24"/>
        </w:rPr>
      </w:pPr>
      <w:r w:rsidRPr="006F5199">
        <w:rPr>
          <w:color w:val="000000" w:themeColor="text1"/>
          <w:sz w:val="24"/>
          <w:szCs w:val="24"/>
        </w:rPr>
        <w:t xml:space="preserve">       </w:t>
      </w:r>
      <w:r w:rsidR="00DA7D85" w:rsidRPr="006F5199">
        <w:rPr>
          <w:color w:val="000000" w:themeColor="text1"/>
          <w:sz w:val="24"/>
          <w:szCs w:val="24"/>
        </w:rPr>
        <w:t xml:space="preserve">10. </w:t>
      </w:r>
      <w:r w:rsidR="00DA7D85" w:rsidRPr="006F5199">
        <w:rPr>
          <w:rFonts w:cstheme="minorHAnsi"/>
          <w:color w:val="000000" w:themeColor="text1"/>
          <w:sz w:val="24"/>
          <w:szCs w:val="24"/>
        </w:rPr>
        <w:t xml:space="preserve">Jestem świadomy/świadoma odpowiedzialności karnej za złożenie fałszywego oświadczenia. </w:t>
      </w:r>
      <w:r w:rsidR="00DA7D85" w:rsidRPr="006F5199">
        <w:rPr>
          <w:color w:val="000000" w:themeColor="text1"/>
          <w:sz w:val="24"/>
          <w:szCs w:val="24"/>
          <w:lang w:val="ru-RU"/>
        </w:rPr>
        <w:t>Я заявляю, що мені відомо про кримінальну відповідальність за подання неправдивої інформації.</w:t>
      </w:r>
      <w:r w:rsidR="00DD20D3" w:rsidRPr="006F5199">
        <w:rPr>
          <w:color w:val="000000" w:themeColor="text1"/>
          <w:sz w:val="24"/>
          <w:szCs w:val="24"/>
        </w:rPr>
        <w:t xml:space="preserve"> </w:t>
      </w:r>
    </w:p>
    <w:p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A36733" w:rsidRDefault="00A36733" w:rsidP="0029723B"/>
    <w:p w:rsidR="00A36733" w:rsidRDefault="00A36733" w:rsidP="0029723B"/>
    <w:p w:rsidR="00A36733" w:rsidRDefault="00A36733" w:rsidP="0029723B"/>
    <w:p w:rsidR="00A36733" w:rsidRDefault="00A36733" w:rsidP="0029723B"/>
    <w:p w:rsidR="00A36733" w:rsidRDefault="00A36733" w:rsidP="0029723B"/>
    <w:p w:rsidR="00A36733" w:rsidRDefault="00A36733" w:rsidP="0029723B"/>
    <w:p w:rsidR="00A36733" w:rsidRDefault="00A3673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lastRenderedPageBreak/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A95D7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A95D7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A95D7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9723B" w:rsidRDefault="0029723B" w:rsidP="002262FF">
      <w:pPr>
        <w:pStyle w:val="Akapitzlist"/>
        <w:ind w:left="0"/>
      </w:pPr>
    </w:p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985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519"/>
        <w:gridCol w:w="3221"/>
        <w:gridCol w:w="2410"/>
        <w:gridCol w:w="3721"/>
        <w:gridCol w:w="106"/>
      </w:tblGrid>
      <w:tr w:rsidR="002262FF" w:rsidRPr="005118D3" w:rsidTr="00A36733">
        <w:trPr>
          <w:gridAfter w:val="1"/>
          <w:wAfter w:w="106" w:type="dxa"/>
          <w:trHeight w:val="1432"/>
        </w:trPr>
        <w:tc>
          <w:tcPr>
            <w:tcW w:w="9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A95D7C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A36733">
        <w:trPr>
          <w:gridBefore w:val="1"/>
          <w:wBefore w:w="8" w:type="dxa"/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A95D7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A36733">
        <w:trPr>
          <w:gridBefore w:val="1"/>
          <w:wBefore w:w="8" w:type="dxa"/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89" w:rsidRDefault="000E5589" w:rsidP="005118D3">
      <w:pPr>
        <w:spacing w:after="0" w:line="240" w:lineRule="auto"/>
      </w:pPr>
      <w:r>
        <w:separator/>
      </w:r>
    </w:p>
  </w:endnote>
  <w:endnote w:type="continuationSeparator" w:id="0">
    <w:p w:rsidR="000E5589" w:rsidRDefault="000E5589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89" w:rsidRDefault="000E5589" w:rsidP="005118D3">
      <w:pPr>
        <w:spacing w:after="0" w:line="240" w:lineRule="auto"/>
      </w:pPr>
      <w:r>
        <w:separator/>
      </w:r>
    </w:p>
  </w:footnote>
  <w:footnote w:type="continuationSeparator" w:id="0">
    <w:p w:rsidR="000E5589" w:rsidRDefault="000E5589" w:rsidP="005118D3">
      <w:pPr>
        <w:spacing w:after="0" w:line="240" w:lineRule="auto"/>
      </w:pPr>
      <w:r>
        <w:continuationSeparator/>
      </w:r>
    </w:p>
  </w:footnote>
  <w:footnote w:id="1">
    <w:p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20757"/>
    <w:rsid w:val="00057A3E"/>
    <w:rsid w:val="00081BBA"/>
    <w:rsid w:val="00097784"/>
    <w:rsid w:val="000C59ED"/>
    <w:rsid w:val="000C67A4"/>
    <w:rsid w:val="000D3B03"/>
    <w:rsid w:val="000E2FE8"/>
    <w:rsid w:val="000E5589"/>
    <w:rsid w:val="00176956"/>
    <w:rsid w:val="0018742D"/>
    <w:rsid w:val="001A4226"/>
    <w:rsid w:val="001B495D"/>
    <w:rsid w:val="001E75CE"/>
    <w:rsid w:val="00201A59"/>
    <w:rsid w:val="002037AB"/>
    <w:rsid w:val="00220230"/>
    <w:rsid w:val="002262FF"/>
    <w:rsid w:val="002325B5"/>
    <w:rsid w:val="00236350"/>
    <w:rsid w:val="00236ACB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317C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66391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6F5199"/>
    <w:rsid w:val="00721C1C"/>
    <w:rsid w:val="00734940"/>
    <w:rsid w:val="00766E2B"/>
    <w:rsid w:val="00780928"/>
    <w:rsid w:val="00833B0D"/>
    <w:rsid w:val="008443E7"/>
    <w:rsid w:val="0087356E"/>
    <w:rsid w:val="008E23F7"/>
    <w:rsid w:val="008F00A3"/>
    <w:rsid w:val="00916080"/>
    <w:rsid w:val="00930A06"/>
    <w:rsid w:val="00930E06"/>
    <w:rsid w:val="0094601D"/>
    <w:rsid w:val="00971C4E"/>
    <w:rsid w:val="009C5EE8"/>
    <w:rsid w:val="009D51F0"/>
    <w:rsid w:val="009F787B"/>
    <w:rsid w:val="00A30C54"/>
    <w:rsid w:val="00A36733"/>
    <w:rsid w:val="00A3760A"/>
    <w:rsid w:val="00A442B9"/>
    <w:rsid w:val="00A5739E"/>
    <w:rsid w:val="00A84068"/>
    <w:rsid w:val="00A908DF"/>
    <w:rsid w:val="00A95D7C"/>
    <w:rsid w:val="00AA2F9C"/>
    <w:rsid w:val="00AC2D79"/>
    <w:rsid w:val="00AD62D2"/>
    <w:rsid w:val="00AE2305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579D7"/>
    <w:rsid w:val="00C865E2"/>
    <w:rsid w:val="00C86AC0"/>
    <w:rsid w:val="00CC505C"/>
    <w:rsid w:val="00CD3EC4"/>
    <w:rsid w:val="00CD61FF"/>
    <w:rsid w:val="00CF7F88"/>
    <w:rsid w:val="00D048FE"/>
    <w:rsid w:val="00D50F26"/>
    <w:rsid w:val="00D56689"/>
    <w:rsid w:val="00D6694D"/>
    <w:rsid w:val="00DA24EE"/>
    <w:rsid w:val="00DA7D85"/>
    <w:rsid w:val="00DA7F01"/>
    <w:rsid w:val="00DD20D3"/>
    <w:rsid w:val="00E017D2"/>
    <w:rsid w:val="00E03F5A"/>
    <w:rsid w:val="00E10731"/>
    <w:rsid w:val="00E16E31"/>
    <w:rsid w:val="00E20201"/>
    <w:rsid w:val="00E63537"/>
    <w:rsid w:val="00E774A2"/>
    <w:rsid w:val="00E91C3C"/>
    <w:rsid w:val="00EA5D29"/>
    <w:rsid w:val="00EF7FB6"/>
    <w:rsid w:val="00F06E66"/>
    <w:rsid w:val="00F1165D"/>
    <w:rsid w:val="00F302F1"/>
    <w:rsid w:val="00F42A17"/>
    <w:rsid w:val="00F602D6"/>
    <w:rsid w:val="00FC6D4D"/>
    <w:rsid w:val="00FC7BFB"/>
    <w:rsid w:val="00FE5D28"/>
    <w:rsid w:val="00FF1BA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6AE284-243F-4705-A275-90A9D0C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Małgorzata_K</cp:lastModifiedBy>
  <cp:revision>2</cp:revision>
  <cp:lastPrinted>2022-05-19T08:43:00Z</cp:lastPrinted>
  <dcterms:created xsi:type="dcterms:W3CDTF">2022-05-19T08:43:00Z</dcterms:created>
  <dcterms:modified xsi:type="dcterms:W3CDTF">2022-05-19T08:43:00Z</dcterms:modified>
</cp:coreProperties>
</file>